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D1" w:rsidRDefault="000F5FD1" w:rsidP="00C919D3">
      <w:pPr>
        <w:tabs>
          <w:tab w:val="left" w:pos="2835"/>
        </w:tabs>
        <w:ind w:right="-567"/>
      </w:pPr>
    </w:p>
    <w:p w:rsidR="000F5FD1" w:rsidRDefault="00B113A2" w:rsidP="00B113A2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Anlage zum Skizzenformular</w:t>
      </w:r>
    </w:p>
    <w:p w:rsidR="00C919D3" w:rsidRPr="00EB1D0D" w:rsidRDefault="00C919D3" w:rsidP="000F5FD1">
      <w:pPr>
        <w:rPr>
          <w:b/>
          <w:sz w:val="28"/>
          <w:szCs w:val="44"/>
        </w:rPr>
      </w:pPr>
    </w:p>
    <w:p w:rsidR="00275D16" w:rsidRPr="00CD0DC4" w:rsidRDefault="00055551" w:rsidP="00275D16">
      <w:pPr>
        <w:autoSpaceDE w:val="0"/>
        <w:autoSpaceDN w:val="0"/>
        <w:adjustRightInd w:val="0"/>
        <w:spacing w:after="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</w:pPr>
      <w:r>
        <w:rPr>
          <w:rFonts w:asciiTheme="majorHAnsi" w:hAnsiTheme="majorHAnsi" w:cs="Arial"/>
          <w:b/>
          <w:sz w:val="44"/>
          <w:szCs w:val="44"/>
        </w:rPr>
        <w:t>Förderrichtlinie Elektromobilität des BMVI</w:t>
      </w:r>
      <w:r>
        <w:rPr>
          <w:rFonts w:asciiTheme="majorHAnsi" w:hAnsiTheme="majorHAnsi" w:cs="Arial"/>
          <w:b/>
          <w:sz w:val="44"/>
          <w:szCs w:val="44"/>
        </w:rPr>
        <w:br/>
      </w:r>
      <w:r w:rsidR="0015626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>Förderaufruf zur Skizzeneinreichung im Bereich Forschung und Entwicklung</w:t>
      </w:r>
      <w:r w:rsidR="0015626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br/>
        <w:t>„</w:t>
      </w:r>
      <w:r w:rsidR="00C37C0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>beschleunigtes Verfahren</w:t>
      </w:r>
      <w:r w:rsidR="0015626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>“</w:t>
      </w:r>
    </w:p>
    <w:p w:rsidR="00275D16" w:rsidRDefault="00275D16" w:rsidP="000F5FD1">
      <w:pPr>
        <w:rPr>
          <w:rFonts w:asciiTheme="majorHAnsi" w:hAnsiTheme="majorHAnsi"/>
        </w:rPr>
      </w:pPr>
    </w:p>
    <w:p w:rsidR="00E23E88" w:rsidRPr="00CD0DC4" w:rsidRDefault="00B113A2" w:rsidP="00E23E88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Arbeitspaketbeschreibung</w:t>
      </w:r>
    </w:p>
    <w:p w:rsidR="00275D16" w:rsidRPr="00CD0DC4" w:rsidRDefault="00275D16" w:rsidP="000F5FD1">
      <w:pPr>
        <w:rPr>
          <w:rFonts w:asciiTheme="majorHAnsi" w:hAnsiTheme="majorHAnsi"/>
        </w:rPr>
      </w:pPr>
    </w:p>
    <w:p w:rsidR="00E23E88" w:rsidRPr="00CD0DC4" w:rsidRDefault="00E23E88" w:rsidP="000F5FD1">
      <w:pPr>
        <w:rPr>
          <w:rFonts w:asciiTheme="majorHAnsi" w:hAnsiTheme="majorHAnsi"/>
        </w:rPr>
      </w:pPr>
    </w:p>
    <w:p w:rsidR="00853778" w:rsidRPr="00E166D2" w:rsidRDefault="00B113A2" w:rsidP="00275D16">
      <w:pPr>
        <w:pStyle w:val="Titel"/>
        <w:pBdr>
          <w:bottom w:val="single" w:sz="8" w:space="1" w:color="4F81BD" w:themeColor="accent1"/>
        </w:pBdr>
        <w:rPr>
          <w:i/>
        </w:rPr>
      </w:pPr>
      <w:r>
        <w:rPr>
          <w:i/>
        </w:rPr>
        <w:t>Skizze:</w:t>
      </w:r>
      <w:r w:rsidR="00D20CBC" w:rsidRPr="00E166D2">
        <w:rPr>
          <w:i/>
        </w:rPr>
        <w:t xml:space="preserve"> „Akronym“</w:t>
      </w:r>
    </w:p>
    <w:p w:rsidR="00CE195B" w:rsidRPr="00CD0DC4" w:rsidRDefault="00D20CBC" w:rsidP="00DD1CCD">
      <w:pPr>
        <w:pStyle w:val="Untertitel"/>
      </w:pPr>
      <w:r w:rsidRPr="00CD0DC4">
        <w:t>Name</w:t>
      </w:r>
      <w:r w:rsidR="00B113A2">
        <w:t>(n)</w:t>
      </w:r>
      <w:r w:rsidRPr="00CD0DC4">
        <w:t xml:space="preserve"> </w:t>
      </w:r>
      <w:r w:rsidR="00B113A2">
        <w:t>aller P</w:t>
      </w:r>
      <w:r w:rsidR="00156269">
        <w:t>rojektp</w:t>
      </w:r>
      <w:r w:rsidRPr="00CD0DC4">
        <w:t>artner</w:t>
      </w:r>
      <w:r w:rsidR="00B113A2">
        <w:t xml:space="preserve"> </w:t>
      </w:r>
      <w:r w:rsidR="005F74E7" w:rsidRPr="00CD0DC4">
        <w:t>/</w:t>
      </w:r>
      <w:r w:rsidR="00B113A2">
        <w:t xml:space="preserve"> Skizzeneinreicher</w:t>
      </w:r>
    </w:p>
    <w:p w:rsidR="00275D16" w:rsidRPr="00CD0DC4" w:rsidRDefault="00275D16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275D16" w:rsidRDefault="00275D16" w:rsidP="000F5FD1">
      <w:pPr>
        <w:autoSpaceDE w:val="0"/>
        <w:autoSpaceDN w:val="0"/>
        <w:adjustRightInd w:val="0"/>
        <w:spacing w:after="120" w:line="240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p w:rsidR="00055551" w:rsidRDefault="00055551">
      <w:pPr>
        <w:rPr>
          <w:rFonts w:asciiTheme="majorHAnsi" w:eastAsia="Arial" w:hAnsiTheme="majorHAnsi"/>
          <w:b/>
          <w:bCs/>
          <w:sz w:val="28"/>
          <w:szCs w:val="20"/>
          <w:lang w:val="en-US"/>
        </w:rPr>
        <w:sectPr w:rsidR="00055551" w:rsidSect="00055551">
          <w:footerReference w:type="default" r:id="rId8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D20CBC" w:rsidRPr="00F85DD0" w:rsidRDefault="00D20CBC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0" w:name="_Toc9861333"/>
      <w:r w:rsidRPr="00F85DD0">
        <w:rPr>
          <w:lang w:val="de-DE"/>
        </w:rPr>
        <w:lastRenderedPageBreak/>
        <w:t>Ausführliche Beschreibung des Arbeitsplans</w:t>
      </w:r>
      <w:bookmarkEnd w:id="0"/>
    </w:p>
    <w:p w:rsidR="00D20CBC" w:rsidRPr="006F5793" w:rsidRDefault="00D20CBC" w:rsidP="00DD1CCD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 w:rsidRPr="006F5793">
        <w:rPr>
          <w:rFonts w:cs="Arial"/>
          <w:i/>
        </w:rPr>
        <w:t xml:space="preserve">Im Arbeitsplan ist der </w:t>
      </w:r>
      <w:r w:rsidR="00780BE1" w:rsidRPr="006F5793">
        <w:rPr>
          <w:rFonts w:cs="Arial"/>
          <w:i/>
        </w:rPr>
        <w:t>notwendig</w:t>
      </w:r>
      <w:r w:rsidR="00780BE1">
        <w:rPr>
          <w:rFonts w:cs="Arial"/>
          <w:i/>
        </w:rPr>
        <w:t>e</w:t>
      </w:r>
      <w:r w:rsidR="00780BE1" w:rsidRPr="006F5793">
        <w:rPr>
          <w:rFonts w:cs="Arial"/>
          <w:i/>
        </w:rPr>
        <w:t xml:space="preserve"> </w:t>
      </w:r>
      <w:r w:rsidRPr="006F5793">
        <w:rPr>
          <w:rFonts w:cs="Arial"/>
          <w:i/>
        </w:rPr>
        <w:t>Arbeit</w:t>
      </w:r>
      <w:r w:rsidR="00780BE1">
        <w:rPr>
          <w:rFonts w:cs="Arial"/>
          <w:i/>
        </w:rPr>
        <w:t>sumfang im Einzelnen festzulegen</w:t>
      </w:r>
      <w:r w:rsidRPr="006F5793">
        <w:rPr>
          <w:rFonts w:cs="Arial"/>
          <w:i/>
        </w:rPr>
        <w:t>. Teilaufgaben, Spezifikationen, Probleme,</w:t>
      </w:r>
      <w:r w:rsidR="00DD1CCD" w:rsidRPr="006F5793">
        <w:rPr>
          <w:rFonts w:cs="Arial"/>
          <w:i/>
        </w:rPr>
        <w:t xml:space="preserve"> </w:t>
      </w:r>
      <w:r w:rsidRPr="006F5793">
        <w:rPr>
          <w:rFonts w:cs="Arial"/>
          <w:i/>
        </w:rPr>
        <w:t>Lösungswege, Meilensteine, Vorbehalte und wesentliche Voraussetzungen zur Erfüllung</w:t>
      </w:r>
      <w:r w:rsidR="00DD1CCD" w:rsidRPr="006F5793">
        <w:rPr>
          <w:rFonts w:cs="Arial"/>
          <w:i/>
        </w:rPr>
        <w:t xml:space="preserve"> </w:t>
      </w:r>
      <w:r w:rsidRPr="006F5793">
        <w:rPr>
          <w:rFonts w:cs="Arial"/>
          <w:i/>
        </w:rPr>
        <w:t xml:space="preserve">der Arbeiten sind aufzuzeigen. </w:t>
      </w:r>
    </w:p>
    <w:p w:rsidR="00500802" w:rsidRDefault="00500802" w:rsidP="00500802">
      <w:pPr>
        <w:pStyle w:val="berschrift2"/>
      </w:pPr>
      <w:bookmarkStart w:id="1" w:name="_Toc9861335"/>
      <w:r>
        <w:t>Beschreibung von Arbeitspaketen (AP)</w:t>
      </w:r>
      <w:bookmarkEnd w:id="1"/>
    </w:p>
    <w:p w:rsidR="00B703F6" w:rsidRDefault="00500802" w:rsidP="00387FC5">
      <w:pPr>
        <w:spacing w:line="240" w:lineRule="auto"/>
        <w:ind w:left="709"/>
        <w:rPr>
          <w:rFonts w:eastAsia="Arial" w:cs="Times New Roman"/>
          <w:b/>
          <w:sz w:val="24"/>
          <w:szCs w:val="24"/>
        </w:rPr>
      </w:pPr>
      <w:r>
        <w:rPr>
          <w:i/>
        </w:rPr>
        <w:t xml:space="preserve">Die Beschreibungen sollten sich wie folgt gliedern, wobei </w:t>
      </w:r>
      <w:r w:rsidR="00C6060A">
        <w:rPr>
          <w:i/>
        </w:rPr>
        <w:t>eine äquivalente Darstellung</w:t>
      </w:r>
      <w:r>
        <w:rPr>
          <w:i/>
        </w:rPr>
        <w:t xml:space="preserve"> möglich </w:t>
      </w:r>
      <w:r w:rsidR="00C6060A">
        <w:rPr>
          <w:i/>
        </w:rPr>
        <w:t>ist</w:t>
      </w:r>
      <w:r>
        <w:rPr>
          <w:i/>
        </w:rPr>
        <w:t xml:space="preserve">. </w:t>
      </w:r>
      <w:r w:rsidR="00387FC5">
        <w:rPr>
          <w:i/>
        </w:rPr>
        <w:t>In einem ersten Schritt ist es sinnvoll das übergeordnete AP (z.B. AP 2) in einem Fließtext zu beschreiben und anschließend die Unter-AP (z.B. AP 2.1)</w:t>
      </w:r>
      <w:r w:rsidR="00B113A2">
        <w:rPr>
          <w:i/>
        </w:rPr>
        <w:t xml:space="preserve"> </w:t>
      </w:r>
      <w:r w:rsidR="00387FC5">
        <w:rPr>
          <w:i/>
        </w:rPr>
        <w:t xml:space="preserve">entsprechend der nachfolgenden Tabelle zu strukturieren. Die Definition einer weiteren Ebene (z.B. AP 2.1.2) ist dann </w:t>
      </w:r>
      <w:r w:rsidR="00FC042E">
        <w:rPr>
          <w:i/>
        </w:rPr>
        <w:t>erforderlich</w:t>
      </w:r>
      <w:r w:rsidR="00387FC5">
        <w:rPr>
          <w:i/>
        </w:rPr>
        <w:t xml:space="preserve">, wenn ein Unter-AP einen größeren Aufwand als 6 PM aufweist.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65"/>
        <w:gridCol w:w="2200"/>
        <w:gridCol w:w="2200"/>
        <w:gridCol w:w="2554"/>
      </w:tblGrid>
      <w:tr w:rsidR="00B703F6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>AP x.y</w:t>
            </w:r>
          </w:p>
        </w:tc>
        <w:tc>
          <w:tcPr>
            <w:tcW w:w="6954" w:type="dxa"/>
            <w:gridSpan w:val="3"/>
          </w:tcPr>
          <w:p w:rsidR="00B703F6" w:rsidRPr="00230C6D" w:rsidRDefault="00B703F6" w:rsidP="00230C6D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Überschrift</w:t>
            </w:r>
            <w:r w:rsidRPr="00230C6D">
              <w:rPr>
                <w:rFonts w:eastAsia="Arial" w:cs="Arial"/>
                <w:spacing w:val="-29"/>
              </w:rPr>
              <w:t xml:space="preserve"> </w:t>
            </w:r>
            <w:r w:rsidRPr="00230C6D">
              <w:rPr>
                <w:rFonts w:eastAsia="Arial" w:cs="Arial"/>
              </w:rPr>
              <w:t>Arbeitspaket</w:t>
            </w:r>
          </w:p>
        </w:tc>
      </w:tr>
      <w:tr w:rsidR="00230C6D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230C6D" w:rsidRPr="00173414" w:rsidRDefault="00B1452C" w:rsidP="00BB37EB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Dauer</w:t>
            </w:r>
          </w:p>
        </w:tc>
        <w:tc>
          <w:tcPr>
            <w:tcW w:w="6954" w:type="dxa"/>
            <w:gridSpan w:val="3"/>
          </w:tcPr>
          <w:p w:rsidR="00230C6D" w:rsidRPr="00230C6D" w:rsidRDefault="00230C6D" w:rsidP="00230C6D">
            <w:pPr>
              <w:rPr>
                <w:rFonts w:eastAsia="Arial" w:cs="Arial"/>
              </w:rPr>
            </w:pPr>
          </w:p>
        </w:tc>
      </w:tr>
      <w:tr w:rsidR="00B703F6" w:rsidRPr="005F0C07" w:rsidTr="00B703F6">
        <w:trPr>
          <w:trHeight w:val="128"/>
        </w:trPr>
        <w:tc>
          <w:tcPr>
            <w:tcW w:w="2065" w:type="dxa"/>
            <w:vMerge w:val="restart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  <w:position w:val="2"/>
              </w:rPr>
              <w:t>Personalbedarf</w:t>
            </w:r>
          </w:p>
        </w:tc>
        <w:tc>
          <w:tcPr>
            <w:tcW w:w="2200" w:type="dxa"/>
            <w:vMerge w:val="restart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  <w:i/>
              </w:rPr>
              <w:t>Partner A</w:t>
            </w: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Kategorie 1</w:t>
            </w:r>
            <w:r w:rsidR="00230C6D">
              <w:rPr>
                <w:rFonts w:eastAsia="Arial" w:cs="Arial"/>
                <w:i/>
              </w:rPr>
              <w:t>*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</w:rPr>
              <w:t xml:space="preserve">Anzahl </w:t>
            </w:r>
            <w:r w:rsidRPr="00230C6D">
              <w:rPr>
                <w:rFonts w:eastAsia="Arial" w:cs="Arial"/>
                <w:i/>
              </w:rPr>
              <w:t>PM / h</w:t>
            </w:r>
          </w:p>
        </w:tc>
      </w:tr>
      <w:tr w:rsidR="00B703F6" w:rsidRPr="005F0C07" w:rsidTr="00B703F6">
        <w:trPr>
          <w:trHeight w:val="128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  <w:vMerge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Kategorie 2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</w:rPr>
              <w:t xml:space="preserve">Anzahl </w:t>
            </w:r>
            <w:r w:rsidRPr="00230C6D">
              <w:rPr>
                <w:rFonts w:eastAsia="Arial" w:cs="Arial"/>
                <w:i/>
              </w:rPr>
              <w:t>PM / h</w:t>
            </w:r>
          </w:p>
        </w:tc>
      </w:tr>
      <w:tr w:rsidR="00B703F6" w:rsidRPr="005F0C07" w:rsidTr="00B703F6">
        <w:trPr>
          <w:trHeight w:val="127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  <w:vMerge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….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…</w:t>
            </w:r>
          </w:p>
        </w:tc>
      </w:tr>
      <w:tr w:rsidR="00B703F6" w:rsidRPr="005F0C07" w:rsidTr="00B703F6">
        <w:trPr>
          <w:trHeight w:val="120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  <w:i/>
              </w:rPr>
              <w:t>Partner B</w:t>
            </w: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Kategorie 1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</w:rPr>
              <w:t xml:space="preserve">Anzahl </w:t>
            </w:r>
            <w:r w:rsidRPr="00230C6D">
              <w:rPr>
                <w:rFonts w:eastAsia="Arial" w:cs="Arial"/>
                <w:i/>
              </w:rPr>
              <w:t>PM / h</w:t>
            </w:r>
          </w:p>
        </w:tc>
      </w:tr>
      <w:tr w:rsidR="00B703F6" w:rsidRPr="005F0C07" w:rsidTr="00B703F6">
        <w:trPr>
          <w:trHeight w:val="85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…</w:t>
            </w: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…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…</w:t>
            </w:r>
          </w:p>
        </w:tc>
      </w:tr>
      <w:tr w:rsidR="00B703F6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>Ziel</w:t>
            </w:r>
            <w:r w:rsidRPr="00173414">
              <w:rPr>
                <w:rFonts w:eastAsia="Arial" w:cs="Arial"/>
                <w:spacing w:val="-1"/>
              </w:rPr>
              <w:t xml:space="preserve"> </w:t>
            </w:r>
            <w:r w:rsidRPr="00173414">
              <w:rPr>
                <w:rFonts w:eastAsia="Arial" w:cs="Arial"/>
              </w:rPr>
              <w:t>/ Erge</w:t>
            </w:r>
            <w:r w:rsidRPr="00173414">
              <w:rPr>
                <w:rFonts w:eastAsia="Arial" w:cs="Arial"/>
                <w:spacing w:val="-1"/>
              </w:rPr>
              <w:t>b</w:t>
            </w:r>
            <w:r w:rsidRPr="00173414">
              <w:rPr>
                <w:rFonts w:eastAsia="Arial" w:cs="Arial"/>
              </w:rPr>
              <w:t>nis</w:t>
            </w:r>
          </w:p>
        </w:tc>
        <w:tc>
          <w:tcPr>
            <w:tcW w:w="6954" w:type="dxa"/>
            <w:gridSpan w:val="3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 xml:space="preserve">z.B. </w:t>
            </w:r>
            <w:r w:rsidR="00230C6D" w:rsidRPr="00230C6D">
              <w:rPr>
                <w:rFonts w:eastAsia="Arial" w:cs="Arial"/>
              </w:rPr>
              <w:t xml:space="preserve">Kurzbeschreibung zur </w:t>
            </w:r>
            <w:r w:rsidRPr="00230C6D">
              <w:rPr>
                <w:rFonts w:eastAsia="Arial" w:cs="Arial"/>
              </w:rPr>
              <w:t>Erreichung</w:t>
            </w:r>
            <w:r w:rsidRPr="00230C6D">
              <w:rPr>
                <w:rFonts w:eastAsia="Arial" w:cs="Arial"/>
                <w:spacing w:val="-9"/>
              </w:rPr>
              <w:t xml:space="preserve"> </w:t>
            </w:r>
            <w:r w:rsidRPr="00230C6D">
              <w:rPr>
                <w:rFonts w:eastAsia="Arial" w:cs="Arial"/>
              </w:rPr>
              <w:t>von</w:t>
            </w:r>
            <w:r w:rsidRPr="00230C6D">
              <w:rPr>
                <w:rFonts w:eastAsia="Arial" w:cs="Arial"/>
                <w:spacing w:val="-8"/>
              </w:rPr>
              <w:t xml:space="preserve"> </w:t>
            </w:r>
            <w:r w:rsidRPr="00230C6D">
              <w:rPr>
                <w:rFonts w:eastAsia="Arial" w:cs="Arial"/>
              </w:rPr>
              <w:t>Meilenstein</w:t>
            </w:r>
            <w:r w:rsidRPr="00230C6D">
              <w:rPr>
                <w:rFonts w:eastAsia="Arial" w:cs="Arial"/>
                <w:spacing w:val="-8"/>
              </w:rPr>
              <w:t xml:space="preserve"> </w:t>
            </w:r>
            <w:r w:rsidRPr="00230C6D">
              <w:rPr>
                <w:rFonts w:eastAsia="Arial" w:cs="Arial"/>
                <w:spacing w:val="-2"/>
              </w:rPr>
              <w:t>X</w:t>
            </w:r>
          </w:p>
        </w:tc>
      </w:tr>
      <w:tr w:rsidR="00B703F6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 xml:space="preserve">Verantwortung </w:t>
            </w:r>
          </w:p>
        </w:tc>
        <w:tc>
          <w:tcPr>
            <w:tcW w:w="6954" w:type="dxa"/>
            <w:gridSpan w:val="3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Partner A</w:t>
            </w:r>
          </w:p>
        </w:tc>
      </w:tr>
      <w:tr w:rsidR="00173414" w:rsidRPr="005F0C07" w:rsidTr="00173414">
        <w:trPr>
          <w:trHeight w:val="128"/>
        </w:trPr>
        <w:tc>
          <w:tcPr>
            <w:tcW w:w="2065" w:type="dxa"/>
            <w:vMerge w:val="restart"/>
            <w:shd w:val="clear" w:color="auto" w:fill="F2F2F2" w:themeFill="background1" w:themeFillShade="F2"/>
          </w:tcPr>
          <w:p w:rsidR="00173414" w:rsidRPr="00173414" w:rsidRDefault="00173414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>Bezug</w:t>
            </w:r>
          </w:p>
        </w:tc>
        <w:tc>
          <w:tcPr>
            <w:tcW w:w="6954" w:type="dxa"/>
            <w:gridSpan w:val="3"/>
          </w:tcPr>
          <w:p w:rsidR="00173414" w:rsidRPr="00230C6D" w:rsidRDefault="00173414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Eingang von Ergebnissen aus AP z.y</w:t>
            </w:r>
          </w:p>
        </w:tc>
      </w:tr>
      <w:tr w:rsidR="00173414" w:rsidRPr="005F0C07" w:rsidTr="00BB37EB">
        <w:trPr>
          <w:trHeight w:val="127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173414" w:rsidRPr="00173414" w:rsidRDefault="00173414" w:rsidP="00BB37EB">
            <w:pPr>
              <w:rPr>
                <w:rFonts w:eastAsia="Arial" w:cs="Arial"/>
              </w:rPr>
            </w:pPr>
          </w:p>
        </w:tc>
        <w:tc>
          <w:tcPr>
            <w:tcW w:w="6954" w:type="dxa"/>
            <w:gridSpan w:val="3"/>
          </w:tcPr>
          <w:p w:rsidR="00173414" w:rsidRPr="00230C6D" w:rsidRDefault="00173414" w:rsidP="00173414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Ausgang von Ergebnissen an AP z.y</w:t>
            </w:r>
          </w:p>
        </w:tc>
      </w:tr>
      <w:tr w:rsidR="00B703F6" w:rsidRPr="005F0C07" w:rsidTr="00BB37EB">
        <w:tc>
          <w:tcPr>
            <w:tcW w:w="9019" w:type="dxa"/>
            <w:gridSpan w:val="4"/>
          </w:tcPr>
          <w:p w:rsidR="00B703F6" w:rsidRPr="00173414" w:rsidRDefault="00B703F6" w:rsidP="00BB37EB">
            <w:pPr>
              <w:rPr>
                <w:rFonts w:eastAsia="Arial" w:cs="Arial"/>
                <w:i/>
              </w:rPr>
            </w:pPr>
            <w:r w:rsidRPr="00173414">
              <w:rPr>
                <w:rFonts w:eastAsia="Arial" w:cs="Arial"/>
                <w:i/>
              </w:rPr>
              <w:t>Beschreibung der inhaltlichen Arbeiten für jeden beteiligten Partner. Bei gemeinsamen Arbeiten die unterschiedlichen Anteile angeben.</w:t>
            </w:r>
          </w:p>
          <w:p w:rsidR="00B703F6" w:rsidRPr="00173414" w:rsidRDefault="00B703F6" w:rsidP="00BB37EB">
            <w:pPr>
              <w:rPr>
                <w:rFonts w:eastAsia="Arial" w:cs="Arial"/>
                <w:i/>
              </w:rPr>
            </w:pPr>
          </w:p>
          <w:p w:rsidR="00B703F6" w:rsidRPr="00173414" w:rsidRDefault="00B703F6" w:rsidP="00BB37EB">
            <w:pPr>
              <w:widowControl w:val="0"/>
              <w:numPr>
                <w:ilvl w:val="0"/>
                <w:numId w:val="2"/>
              </w:numPr>
              <w:tabs>
                <w:tab w:val="left" w:pos="837"/>
              </w:tabs>
              <w:spacing w:before="1"/>
              <w:ind w:left="837"/>
              <w:rPr>
                <w:rFonts w:eastAsia="Arial" w:cs="Times New Roman"/>
                <w:i/>
              </w:rPr>
            </w:pPr>
            <w:r w:rsidRPr="00173414">
              <w:rPr>
                <w:rFonts w:eastAsia="Arial" w:cs="Times New Roman"/>
                <w:i/>
              </w:rPr>
              <w:t>Der Umfang</w:t>
            </w:r>
            <w:r w:rsidRPr="00173414">
              <w:rPr>
                <w:rFonts w:eastAsia="Arial" w:cs="Times New Roman"/>
                <w:i/>
                <w:spacing w:val="-8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eines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(Unter-)Arbeitspake</w:t>
            </w:r>
            <w:r w:rsidRPr="00173414">
              <w:rPr>
                <w:rFonts w:eastAsia="Arial" w:cs="Times New Roman"/>
                <w:i/>
                <w:spacing w:val="-1"/>
              </w:rPr>
              <w:t>t</w:t>
            </w:r>
            <w:r w:rsidRPr="00173414">
              <w:rPr>
                <w:rFonts w:eastAsia="Arial" w:cs="Times New Roman"/>
                <w:i/>
              </w:rPr>
              <w:t>es</w:t>
            </w:r>
            <w:r w:rsidRPr="00173414">
              <w:rPr>
                <w:rFonts w:eastAsia="Arial" w:cs="Times New Roman"/>
                <w:i/>
                <w:spacing w:val="-8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sollte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b/>
                <w:i/>
              </w:rPr>
              <w:t>6</w:t>
            </w:r>
            <w:r w:rsidRPr="00173414">
              <w:rPr>
                <w:rFonts w:eastAsia="Arial" w:cs="Times New Roman"/>
                <w:b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b/>
                <w:i/>
              </w:rPr>
              <w:t xml:space="preserve">PM </w:t>
            </w:r>
            <w:r w:rsidRPr="00173414">
              <w:rPr>
                <w:rFonts w:eastAsia="Arial" w:cs="Times New Roman"/>
                <w:i/>
              </w:rPr>
              <w:t>nicht überschreiten.</w:t>
            </w:r>
          </w:p>
          <w:p w:rsidR="00B703F6" w:rsidRPr="00173414" w:rsidRDefault="00B703F6" w:rsidP="00BB37EB">
            <w:pPr>
              <w:widowControl w:val="0"/>
              <w:numPr>
                <w:ilvl w:val="0"/>
                <w:numId w:val="2"/>
              </w:numPr>
              <w:tabs>
                <w:tab w:val="left" w:pos="837"/>
              </w:tabs>
              <w:spacing w:before="36" w:line="272" w:lineRule="auto"/>
              <w:ind w:left="837" w:right="546"/>
              <w:rPr>
                <w:rFonts w:eastAsia="Arial" w:cs="Times New Roman"/>
                <w:i/>
              </w:rPr>
            </w:pPr>
            <w:r w:rsidRPr="00173414">
              <w:rPr>
                <w:rFonts w:eastAsia="Arial" w:cs="Times New Roman"/>
                <w:i/>
              </w:rPr>
              <w:t>Die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zeitliche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Planung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sollte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basiere</w:t>
            </w:r>
            <w:r w:rsidRPr="00173414">
              <w:rPr>
                <w:rFonts w:eastAsia="Arial" w:cs="Times New Roman"/>
                <w:i/>
                <w:spacing w:val="-1"/>
              </w:rPr>
              <w:t>n</w:t>
            </w:r>
            <w:r w:rsidRPr="00173414">
              <w:rPr>
                <w:rFonts w:eastAsia="Arial" w:cs="Times New Roman"/>
                <w:i/>
              </w:rPr>
              <w:t>d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auf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einem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Projektverlauf-Diagramm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(Gantt-</w:t>
            </w:r>
            <w:r w:rsidRPr="00173414">
              <w:rPr>
                <w:rFonts w:eastAsia="Arial" w:cs="Times New Roman"/>
                <w:i/>
                <w:w w:val="9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Chart)</w:t>
            </w:r>
            <w:r w:rsidRPr="00173414">
              <w:rPr>
                <w:rFonts w:eastAsia="Arial" w:cs="Times New Roman"/>
                <w:i/>
                <w:spacing w:val="-11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erkenntlich</w:t>
            </w:r>
            <w:r w:rsidRPr="00173414">
              <w:rPr>
                <w:rFonts w:eastAsia="Arial" w:cs="Times New Roman"/>
                <w:i/>
                <w:spacing w:val="-11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s</w:t>
            </w:r>
            <w:r w:rsidRPr="00173414">
              <w:rPr>
                <w:rFonts w:eastAsia="Arial" w:cs="Times New Roman"/>
                <w:i/>
                <w:spacing w:val="-1"/>
              </w:rPr>
              <w:t>e</w:t>
            </w:r>
            <w:r w:rsidRPr="00173414">
              <w:rPr>
                <w:rFonts w:eastAsia="Arial" w:cs="Times New Roman"/>
                <w:i/>
              </w:rPr>
              <w:t>in.</w:t>
            </w:r>
          </w:p>
          <w:p w:rsidR="00B703F6" w:rsidRPr="00173414" w:rsidRDefault="00B703F6" w:rsidP="00BB37EB">
            <w:pPr>
              <w:rPr>
                <w:rFonts w:eastAsia="Arial" w:cs="Arial"/>
                <w:i/>
              </w:rPr>
            </w:pPr>
          </w:p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  <w:i/>
              </w:rPr>
              <w:t>Der Umfang der Erläuterungen sollte sich an dem Personalbedarf und dem inhaltlichen Umfang orientieren. Es muss für die Prüfinstanz erkennbar sein, dass der beantragte Personalbedarf für die Arbeiten gerechtfertigt ist.</w:t>
            </w:r>
          </w:p>
        </w:tc>
      </w:tr>
    </w:tbl>
    <w:p w:rsidR="0067647F" w:rsidRPr="00FF73B9" w:rsidRDefault="00230C6D">
      <w:pPr>
        <w:rPr>
          <w:rFonts w:eastAsia="Arial" w:cs="Times New Roman"/>
          <w:i/>
          <w:sz w:val="24"/>
          <w:szCs w:val="24"/>
        </w:rPr>
      </w:pPr>
      <w:r w:rsidRPr="00FF73B9">
        <w:rPr>
          <w:rFonts w:eastAsia="Arial" w:cs="Times New Roman"/>
          <w:i/>
          <w:szCs w:val="24"/>
        </w:rPr>
        <w:t>*z.B. Techniker, Ingenieur</w:t>
      </w:r>
      <w:r w:rsidR="0067647F" w:rsidRPr="00FF73B9">
        <w:rPr>
          <w:rFonts w:eastAsia="Arial" w:cs="Times New Roman"/>
          <w:i/>
          <w:sz w:val="24"/>
          <w:szCs w:val="24"/>
        </w:rPr>
        <w:br w:type="page"/>
      </w:r>
    </w:p>
    <w:p w:rsidR="00A155C3" w:rsidRPr="00172F35" w:rsidRDefault="00CD0DC4" w:rsidP="00387FC5">
      <w:pPr>
        <w:spacing w:line="240" w:lineRule="auto"/>
        <w:ind w:left="709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lastRenderedPageBreak/>
        <w:t>Übersicht</w:t>
      </w:r>
      <w:r w:rsidR="00A155C3">
        <w:rPr>
          <w:rFonts w:eastAsia="Arial" w:cs="Times New Roman"/>
          <w:b/>
          <w:sz w:val="24"/>
          <w:szCs w:val="24"/>
        </w:rPr>
        <w:t xml:space="preserve"> Personalressourcen </w:t>
      </w:r>
      <w:r w:rsidR="00172F35">
        <w:rPr>
          <w:rFonts w:eastAsia="Arial" w:cs="Times New Roman"/>
          <w:b/>
          <w:sz w:val="24"/>
          <w:szCs w:val="24"/>
        </w:rPr>
        <w:br/>
      </w:r>
      <w:r w:rsidRPr="00387FC5">
        <w:rPr>
          <w:rFonts w:eastAsia="Arial" w:cs="Times New Roman"/>
          <w:i/>
          <w:vanish/>
          <w:szCs w:val="24"/>
        </w:rPr>
        <w:t xml:space="preserve">Diese Aufstellung ermöglicht einen Überblick betreffend </w:t>
      </w:r>
      <w:r w:rsidR="006A2A20" w:rsidRPr="00387FC5">
        <w:rPr>
          <w:rFonts w:eastAsia="Arial" w:cs="Times New Roman"/>
          <w:i/>
          <w:vanish/>
          <w:szCs w:val="24"/>
        </w:rPr>
        <w:t xml:space="preserve">der </w:t>
      </w:r>
      <w:r w:rsidR="00172F35" w:rsidRPr="00387FC5">
        <w:rPr>
          <w:rFonts w:eastAsia="Arial" w:cs="Times New Roman"/>
          <w:i/>
          <w:vanish/>
          <w:szCs w:val="24"/>
        </w:rPr>
        <w:t xml:space="preserve">Zuordnung </w:t>
      </w:r>
      <w:r w:rsidR="006A2A20" w:rsidRPr="00387FC5">
        <w:rPr>
          <w:rFonts w:eastAsia="Arial" w:cs="Times New Roman"/>
          <w:i/>
          <w:vanish/>
          <w:szCs w:val="24"/>
        </w:rPr>
        <w:t xml:space="preserve">von </w:t>
      </w:r>
      <w:r w:rsidR="00172F35" w:rsidRPr="00387FC5">
        <w:rPr>
          <w:rFonts w:eastAsia="Arial" w:cs="Times New Roman"/>
          <w:i/>
          <w:vanish/>
          <w:szCs w:val="24"/>
        </w:rPr>
        <w:t xml:space="preserve">Personalkategorien </w:t>
      </w:r>
      <w:r w:rsidRPr="00387FC5">
        <w:rPr>
          <w:rFonts w:eastAsia="Arial" w:cs="Times New Roman"/>
          <w:i/>
          <w:vanish/>
          <w:szCs w:val="24"/>
        </w:rPr>
        <w:t xml:space="preserve">(z.B. Techniker, Ingenieur) </w:t>
      </w:r>
      <w:r w:rsidR="00172F35" w:rsidRPr="00387FC5">
        <w:rPr>
          <w:rFonts w:eastAsia="Arial" w:cs="Times New Roman"/>
          <w:i/>
          <w:vanish/>
          <w:szCs w:val="24"/>
        </w:rPr>
        <w:t>zu den Arbeitsbedarfen aus den AP-Beschreibungen</w:t>
      </w:r>
      <w:r w:rsidRPr="00387FC5">
        <w:rPr>
          <w:rFonts w:eastAsia="Arial" w:cs="Times New Roman"/>
          <w:i/>
          <w:vanish/>
          <w:szCs w:val="24"/>
        </w:rPr>
        <w:t>.</w:t>
      </w:r>
      <w:r w:rsidR="007C682C" w:rsidRPr="00387FC5">
        <w:rPr>
          <w:rFonts w:eastAsia="Arial" w:cs="Times New Roman"/>
          <w:i/>
          <w:vanish/>
          <w:szCs w:val="24"/>
        </w:rPr>
        <w:t xml:space="preserve"> Insgesamt sollten die Angaben </w:t>
      </w:r>
      <w:r w:rsidR="00F479ED" w:rsidRPr="00387FC5">
        <w:rPr>
          <w:rFonts w:eastAsia="Arial" w:cs="Times New Roman"/>
          <w:i/>
          <w:vanish/>
          <w:szCs w:val="24"/>
        </w:rPr>
        <w:t xml:space="preserve">zu </w:t>
      </w:r>
      <w:r w:rsidR="007C682C" w:rsidRPr="00387FC5">
        <w:rPr>
          <w:rFonts w:eastAsia="Arial" w:cs="Times New Roman"/>
          <w:i/>
          <w:vanish/>
          <w:szCs w:val="24"/>
        </w:rPr>
        <w:t xml:space="preserve">den beantragten Mitteln im Antrag </w:t>
      </w:r>
      <w:r w:rsidR="00F479ED" w:rsidRPr="00387FC5">
        <w:rPr>
          <w:rFonts w:eastAsia="Arial" w:cs="Times New Roman"/>
          <w:i/>
          <w:vanish/>
          <w:szCs w:val="24"/>
        </w:rPr>
        <w:t>passen</w:t>
      </w:r>
      <w:r w:rsidR="007C682C" w:rsidRPr="00387FC5">
        <w:rPr>
          <w:rFonts w:eastAsia="Arial" w:cs="Times New Roman"/>
          <w:i/>
          <w:vanish/>
          <w:szCs w:val="24"/>
        </w:rPr>
        <w:t>.</w:t>
      </w:r>
    </w:p>
    <w:bookmarkStart w:id="2" w:name="_MON_1599483857"/>
    <w:bookmarkEnd w:id="2"/>
    <w:bookmarkStart w:id="3" w:name="_MON_1599478339"/>
    <w:bookmarkEnd w:id="3"/>
    <w:p w:rsidR="0067647F" w:rsidRPr="001E43B6" w:rsidRDefault="00FC042E" w:rsidP="00387FC5">
      <w:pPr>
        <w:spacing w:line="240" w:lineRule="auto"/>
        <w:rPr>
          <w:rFonts w:eastAsia="Arial" w:cs="Times New Roman"/>
          <w:szCs w:val="24"/>
        </w:rPr>
      </w:pPr>
      <w:r>
        <w:rPr>
          <w:rFonts w:eastAsia="Arial" w:cs="Times New Roman"/>
          <w:b/>
          <w:sz w:val="24"/>
          <w:szCs w:val="24"/>
        </w:rPr>
        <w:object w:dxaOrig="12876" w:dyaOrig="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119.55pt" o:ole="">
            <v:imagedata r:id="rId9" o:title=""/>
          </v:shape>
          <o:OLEObject Type="Embed" ProgID="Excel.Sheet.12" ShapeID="_x0000_i1025" DrawAspect="Content" ObjectID="_1670167466" r:id="rId10"/>
        </w:object>
      </w:r>
      <w:r w:rsidR="001E43B6" w:rsidRPr="00387FC5">
        <w:rPr>
          <w:rFonts w:eastAsia="Arial" w:cs="Times New Roman"/>
          <w:i/>
          <w:sz w:val="20"/>
          <w:szCs w:val="24"/>
        </w:rPr>
        <w:t>*</w:t>
      </w:r>
      <w:r>
        <w:rPr>
          <w:rFonts w:eastAsia="Arial" w:cs="Times New Roman"/>
          <w:i/>
          <w:sz w:val="20"/>
          <w:szCs w:val="24"/>
        </w:rPr>
        <w:t xml:space="preserve">Entscheiden Sie sich bitte für eine einheitliche Angabe zum Arbeitsbedarf (Arbeitsstunden oder Personalmonate). Sollte </w:t>
      </w:r>
      <w:r w:rsidR="002B0D80" w:rsidRPr="00387FC5">
        <w:rPr>
          <w:rFonts w:eastAsia="Arial" w:cs="Times New Roman"/>
          <w:i/>
          <w:sz w:val="20"/>
          <w:szCs w:val="24"/>
        </w:rPr>
        <w:t xml:space="preserve">die Einheit gegenüber dem </w:t>
      </w:r>
      <w:r>
        <w:rPr>
          <w:rFonts w:eastAsia="Arial" w:cs="Times New Roman"/>
          <w:i/>
          <w:sz w:val="20"/>
          <w:szCs w:val="24"/>
        </w:rPr>
        <w:t xml:space="preserve">später zu stellenden </w:t>
      </w:r>
      <w:r w:rsidR="002B0D80" w:rsidRPr="00387FC5">
        <w:rPr>
          <w:rFonts w:eastAsia="Arial" w:cs="Times New Roman"/>
          <w:i/>
          <w:sz w:val="20"/>
          <w:szCs w:val="24"/>
        </w:rPr>
        <w:t xml:space="preserve">Antrag abweichen, </w:t>
      </w:r>
      <w:r>
        <w:rPr>
          <w:rFonts w:eastAsia="Arial" w:cs="Times New Roman"/>
          <w:i/>
          <w:sz w:val="20"/>
          <w:szCs w:val="24"/>
        </w:rPr>
        <w:t xml:space="preserve">müssen dann </w:t>
      </w:r>
      <w:r w:rsidR="002B0D80" w:rsidRPr="00387FC5">
        <w:rPr>
          <w:rFonts w:eastAsia="Arial" w:cs="Times New Roman"/>
          <w:i/>
          <w:sz w:val="20"/>
          <w:szCs w:val="24"/>
        </w:rPr>
        <w:t>die berücksichtigten monatlichen produktiven Stunden an</w:t>
      </w:r>
      <w:r>
        <w:rPr>
          <w:rFonts w:eastAsia="Arial" w:cs="Times New Roman"/>
          <w:i/>
          <w:sz w:val="20"/>
          <w:szCs w:val="24"/>
        </w:rPr>
        <w:t>gegeben werden</w:t>
      </w:r>
      <w:r w:rsidR="001E43B6" w:rsidRPr="00387FC5">
        <w:rPr>
          <w:rFonts w:eastAsia="Arial" w:cs="Times New Roman"/>
          <w:i/>
          <w:sz w:val="20"/>
          <w:szCs w:val="24"/>
        </w:rPr>
        <w:t>.</w:t>
      </w:r>
      <w:r w:rsidR="001E43B6" w:rsidRPr="00387FC5">
        <w:rPr>
          <w:rFonts w:eastAsia="Arial" w:cs="Times New Roman"/>
          <w:sz w:val="20"/>
          <w:szCs w:val="24"/>
        </w:rPr>
        <w:t xml:space="preserve"> </w:t>
      </w:r>
    </w:p>
    <w:p w:rsidR="00387FC5" w:rsidRDefault="00387FC5" w:rsidP="00387FC5">
      <w:pPr>
        <w:spacing w:after="0" w:line="240" w:lineRule="auto"/>
        <w:ind w:left="709"/>
        <w:rPr>
          <w:rFonts w:eastAsia="Arial" w:cs="Times New Roman"/>
          <w:b/>
          <w:sz w:val="24"/>
          <w:szCs w:val="24"/>
        </w:rPr>
      </w:pPr>
      <w:bookmarkStart w:id="4" w:name="_MON_1599478721"/>
      <w:bookmarkEnd w:id="4"/>
    </w:p>
    <w:p w:rsidR="003932E2" w:rsidRDefault="003932E2" w:rsidP="00387FC5">
      <w:pPr>
        <w:spacing w:after="0" w:line="240" w:lineRule="auto"/>
        <w:ind w:left="709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>Übersicht</w:t>
      </w:r>
      <w:r w:rsidRPr="00172F35">
        <w:rPr>
          <w:rFonts w:eastAsia="Arial" w:cs="Times New Roman"/>
          <w:b/>
          <w:sz w:val="24"/>
          <w:szCs w:val="24"/>
        </w:rPr>
        <w:t xml:space="preserve"> Ressourcenverteilung Investitionen </w:t>
      </w:r>
    </w:p>
    <w:p w:rsidR="003932E2" w:rsidRDefault="003932E2" w:rsidP="00387FC5">
      <w:pPr>
        <w:spacing w:line="240" w:lineRule="auto"/>
        <w:ind w:left="709"/>
        <w:rPr>
          <w:rFonts w:cs="Arial"/>
          <w:bCs/>
          <w:i/>
          <w:vanish/>
          <w:szCs w:val="24"/>
        </w:rPr>
      </w:pPr>
      <w:r w:rsidRPr="00387FC5">
        <w:rPr>
          <w:rFonts w:eastAsia="Arial" w:cs="Times New Roman"/>
          <w:i/>
          <w:vanish/>
          <w:szCs w:val="24"/>
        </w:rPr>
        <w:t xml:space="preserve">Diese Aufstellung ermöglicht einen Überblick </w:t>
      </w:r>
      <w:r w:rsidR="00FC042E">
        <w:rPr>
          <w:rFonts w:eastAsia="Arial" w:cs="Times New Roman"/>
          <w:i/>
          <w:vanish/>
          <w:szCs w:val="24"/>
        </w:rPr>
        <w:t>zur</w:t>
      </w:r>
      <w:r w:rsidRPr="00387FC5">
        <w:rPr>
          <w:rFonts w:eastAsia="Arial" w:cs="Times New Roman"/>
          <w:i/>
          <w:vanish/>
          <w:szCs w:val="24"/>
        </w:rPr>
        <w:t xml:space="preserve"> Zuordnung von Sachmittel</w:t>
      </w:r>
      <w:r w:rsidR="00A92813" w:rsidRPr="00387FC5">
        <w:rPr>
          <w:rFonts w:eastAsia="Arial" w:cs="Times New Roman"/>
          <w:i/>
          <w:vanish/>
          <w:szCs w:val="24"/>
        </w:rPr>
        <w:t>n</w:t>
      </w:r>
      <w:r w:rsidRPr="00387FC5">
        <w:rPr>
          <w:rFonts w:eastAsia="Arial" w:cs="Times New Roman"/>
          <w:i/>
          <w:vanish/>
          <w:szCs w:val="24"/>
        </w:rPr>
        <w:t xml:space="preserve"> und Aufträgen</w:t>
      </w:r>
      <w:r w:rsidR="00FC042E">
        <w:rPr>
          <w:rFonts w:eastAsia="Arial" w:cs="Times New Roman"/>
          <w:i/>
          <w:vanish/>
          <w:szCs w:val="24"/>
        </w:rPr>
        <w:t xml:space="preserve"> zu den APs</w:t>
      </w:r>
      <w:r w:rsidRPr="00387FC5">
        <w:rPr>
          <w:rFonts w:eastAsia="Arial" w:cs="Times New Roman"/>
          <w:i/>
          <w:vanish/>
          <w:szCs w:val="24"/>
        </w:rPr>
        <w:t>.</w:t>
      </w:r>
      <w:r w:rsidRPr="00387FC5">
        <w:rPr>
          <w:rFonts w:cs="Arial"/>
          <w:bCs/>
          <w:i/>
          <w:vanish/>
          <w:szCs w:val="24"/>
        </w:rPr>
        <w:t>.</w:t>
      </w:r>
    </w:p>
    <w:bookmarkStart w:id="5" w:name="_MON_1668516755"/>
    <w:bookmarkEnd w:id="5"/>
    <w:bookmarkStart w:id="6" w:name="_MON_1601121058"/>
    <w:bookmarkEnd w:id="6"/>
    <w:p w:rsidR="0067647F" w:rsidRPr="00E85151" w:rsidRDefault="00C37C08" w:rsidP="003932E2">
      <w:pPr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object w:dxaOrig="9019" w:dyaOrig="2064">
          <v:shape id="_x0000_i1033" type="#_x0000_t75" style="width:451pt;height:103.25pt" o:ole="">
            <v:imagedata r:id="rId11" o:title=""/>
          </v:shape>
          <o:OLEObject Type="Embed" ProgID="Excel.Sheet.12" ShapeID="_x0000_i1033" DrawAspect="Content" ObjectID="_1670167467" r:id="rId12"/>
        </w:object>
      </w:r>
    </w:p>
    <w:p w:rsidR="00D20CBC" w:rsidRPr="00F0243B" w:rsidRDefault="00D20CBC" w:rsidP="00F0243B">
      <w:pPr>
        <w:pStyle w:val="berschrift2"/>
      </w:pPr>
      <w:bookmarkStart w:id="7" w:name="_Toc9861336"/>
      <w:r w:rsidRPr="00F0243B">
        <w:t>Meilensteinplanung</w:t>
      </w:r>
      <w:bookmarkEnd w:id="7"/>
    </w:p>
    <w:p w:rsidR="00275CE6" w:rsidRPr="00AE7133" w:rsidRDefault="00D20CBC" w:rsidP="0067647F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AE7133">
        <w:rPr>
          <w:rFonts w:cs="Arial"/>
          <w:i/>
        </w:rPr>
        <w:t>Die Abl</w:t>
      </w:r>
      <w:r w:rsidR="006F5793">
        <w:rPr>
          <w:rFonts w:cs="Arial"/>
          <w:i/>
        </w:rPr>
        <w:t>aufplanung ist so zu gestalten</w:t>
      </w:r>
      <w:r w:rsidRPr="00AE7133">
        <w:rPr>
          <w:rFonts w:cs="Arial"/>
          <w:i/>
        </w:rPr>
        <w:t>, dass</w:t>
      </w:r>
      <w:r w:rsidR="00387FC5">
        <w:rPr>
          <w:rFonts w:cs="Arial"/>
          <w:i/>
        </w:rPr>
        <w:t xml:space="preserve"> der Aufbau der Arbeitspakete zu</w:t>
      </w:r>
      <w:r w:rsidR="00E23E88">
        <w:rPr>
          <w:rFonts w:cs="Arial"/>
          <w:i/>
        </w:rPr>
        <w:t xml:space="preserve">einander </w:t>
      </w:r>
      <w:r w:rsidR="00387FC5">
        <w:rPr>
          <w:rFonts w:cs="Arial"/>
          <w:i/>
        </w:rPr>
        <w:t>erkennbar wird</w:t>
      </w:r>
      <w:r w:rsidR="00E23E88">
        <w:rPr>
          <w:rFonts w:cs="Arial"/>
          <w:i/>
        </w:rPr>
        <w:t>.</w:t>
      </w:r>
      <w:r w:rsidR="00DD1CCD">
        <w:rPr>
          <w:rFonts w:cs="Arial"/>
          <w:i/>
        </w:rPr>
        <w:t xml:space="preserve"> </w:t>
      </w:r>
      <w:r w:rsidR="0067647F" w:rsidRPr="00AE7133">
        <w:rPr>
          <w:rFonts w:cs="Arial"/>
          <w:i/>
        </w:rPr>
        <w:t>Meilensteine sind inhaltlich</w:t>
      </w:r>
      <w:r w:rsidR="0067647F">
        <w:rPr>
          <w:rFonts w:cs="Arial"/>
          <w:i/>
        </w:rPr>
        <w:t xml:space="preserve"> </w:t>
      </w:r>
      <w:r w:rsidR="0067647F" w:rsidRPr="00AE7133">
        <w:rPr>
          <w:rFonts w:cs="Arial"/>
          <w:i/>
        </w:rPr>
        <w:t>und zeitlich auszuformulieren und festzulegen.</w:t>
      </w:r>
      <w:r w:rsidR="0067647F">
        <w:rPr>
          <w:rFonts w:cs="Arial"/>
          <w:i/>
        </w:rPr>
        <w:t xml:space="preserve"> Hierbei ist zu beachten, dass </w:t>
      </w:r>
      <w:r w:rsidRPr="00AE7133">
        <w:rPr>
          <w:rFonts w:cs="Arial"/>
          <w:i/>
        </w:rPr>
        <w:t>neue</w:t>
      </w:r>
      <w:r w:rsidR="006F5793">
        <w:rPr>
          <w:rFonts w:cs="Arial"/>
          <w:i/>
        </w:rPr>
        <w:t>s</w:t>
      </w:r>
      <w:r w:rsidR="00E23E88">
        <w:rPr>
          <w:rFonts w:cs="Arial"/>
          <w:i/>
        </w:rPr>
        <w:t>te Erkenntnisse - auch Dritter-</w:t>
      </w:r>
      <w:r w:rsidRPr="00AE7133">
        <w:rPr>
          <w:rFonts w:cs="Arial"/>
          <w:i/>
        </w:rPr>
        <w:t xml:space="preserve"> einfließen können, die eine Änderung oder</w:t>
      </w:r>
      <w:r w:rsidR="00DD1CCD">
        <w:rPr>
          <w:rFonts w:cs="Arial"/>
          <w:i/>
        </w:rPr>
        <w:t xml:space="preserve"> </w:t>
      </w:r>
      <w:r w:rsidRPr="00AE7133">
        <w:rPr>
          <w:rFonts w:cs="Arial"/>
          <w:i/>
        </w:rPr>
        <w:t>ggf. sogar einen Abbruch des Vorhabens erfordern würden.</w:t>
      </w:r>
    </w:p>
    <w:p w:rsidR="0067647F" w:rsidRDefault="0067647F" w:rsidP="0095456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/>
          <w:i/>
        </w:rPr>
      </w:pPr>
    </w:p>
    <w:p w:rsidR="00275CE6" w:rsidRPr="00AE7133" w:rsidRDefault="00275CE6" w:rsidP="0095456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 w:rsidRPr="00AE7133">
        <w:rPr>
          <w:rFonts w:cs="Arial"/>
          <w:b/>
          <w:i/>
        </w:rPr>
        <w:t>Planungshilfen</w:t>
      </w:r>
    </w:p>
    <w:p w:rsidR="00275CE6" w:rsidRDefault="00275CE6" w:rsidP="0095456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 w:rsidRPr="00AE7133">
        <w:rPr>
          <w:rFonts w:cs="Arial"/>
          <w:i/>
        </w:rPr>
        <w:t>Je nach Umfang des Vorhabens sind Planungshilfen (möglichst graphische Darstellungen) beizufügen.</w:t>
      </w:r>
      <w:r w:rsidR="005A7C9C">
        <w:rPr>
          <w:rFonts w:cs="Arial"/>
          <w:i/>
        </w:rPr>
        <w:t xml:space="preserve"> Hier wird ein </w:t>
      </w:r>
      <w:r w:rsidR="005A7C9C" w:rsidRPr="005A7C9C">
        <w:rPr>
          <w:rFonts w:cs="Arial"/>
          <w:i/>
        </w:rPr>
        <w:t>Gantt-Diagramm oder Balkenplan</w:t>
      </w:r>
      <w:r w:rsidR="005A7C9C">
        <w:rPr>
          <w:rFonts w:cs="Arial"/>
          <w:i/>
        </w:rPr>
        <w:t xml:space="preserve"> gefordert</w:t>
      </w:r>
      <w:r w:rsidR="006F5793">
        <w:rPr>
          <w:rFonts w:cs="Arial"/>
          <w:i/>
        </w:rPr>
        <w:t xml:space="preserve">, in dem Meilensteine und die Arbeitspakete </w:t>
      </w:r>
      <w:r w:rsidR="00387FC5">
        <w:rPr>
          <w:rFonts w:cs="Arial"/>
          <w:i/>
        </w:rPr>
        <w:t>eindeutig erkenn</w:t>
      </w:r>
      <w:bookmarkStart w:id="8" w:name="_GoBack"/>
      <w:bookmarkEnd w:id="8"/>
      <w:r w:rsidR="00387FC5">
        <w:rPr>
          <w:rFonts w:cs="Arial"/>
          <w:i/>
        </w:rPr>
        <w:t>bar sind</w:t>
      </w:r>
      <w:r w:rsidR="005A7C9C">
        <w:rPr>
          <w:rFonts w:cs="Arial"/>
          <w:i/>
        </w:rPr>
        <w:t>.</w:t>
      </w:r>
    </w:p>
    <w:sectPr w:rsidR="00275CE6" w:rsidSect="00055551">
      <w:footerReference w:type="default" r:id="rId13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51" w:rsidRDefault="00055551" w:rsidP="00055551">
      <w:pPr>
        <w:spacing w:after="0" w:line="240" w:lineRule="auto"/>
      </w:pPr>
      <w:r>
        <w:separator/>
      </w:r>
    </w:p>
  </w:endnote>
  <w:endnote w:type="continuationSeparator" w:id="0">
    <w:p w:rsidR="00055551" w:rsidRDefault="00055551" w:rsidP="0005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51" w:rsidRDefault="00FC042E">
    <w:pPr>
      <w:pStyle w:val="Fuzeile"/>
      <w:jc w:val="center"/>
    </w:pPr>
    <w:r>
      <w:rPr>
        <w:rFonts w:cs="Arial"/>
        <w:i/>
        <w:noProof/>
        <w:lang w:eastAsia="de-DE"/>
      </w:rPr>
      <w:drawing>
        <wp:inline distT="0" distB="0" distL="0" distR="0" wp14:anchorId="6437EBD5" wp14:editId="505F47CF">
          <wp:extent cx="5759450" cy="1322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mbi_EvO+BMVI+NOW+PtJ_Press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5551" w:rsidRDefault="000555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929435"/>
      <w:docPartObj>
        <w:docPartGallery w:val="Page Numbers (Bottom of Page)"/>
        <w:docPartUnique/>
      </w:docPartObj>
    </w:sdtPr>
    <w:sdtEndPr/>
    <w:sdtContent>
      <w:p w:rsidR="00055551" w:rsidRDefault="000555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08">
          <w:rPr>
            <w:noProof/>
          </w:rPr>
          <w:t>2</w:t>
        </w:r>
        <w:r>
          <w:fldChar w:fldCharType="end"/>
        </w:r>
      </w:p>
    </w:sdtContent>
  </w:sdt>
  <w:p w:rsidR="00055551" w:rsidRDefault="000555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51" w:rsidRDefault="00055551" w:rsidP="00055551">
      <w:pPr>
        <w:spacing w:after="0" w:line="240" w:lineRule="auto"/>
      </w:pPr>
      <w:r>
        <w:separator/>
      </w:r>
    </w:p>
  </w:footnote>
  <w:footnote w:type="continuationSeparator" w:id="0">
    <w:p w:rsidR="00055551" w:rsidRDefault="00055551" w:rsidP="0005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0C3"/>
    <w:multiLevelType w:val="hybridMultilevel"/>
    <w:tmpl w:val="A60A544E"/>
    <w:lvl w:ilvl="0" w:tplc="D4BA6E30">
      <w:numFmt w:val="bullet"/>
      <w:lvlText w:val="•"/>
      <w:lvlJc w:val="left"/>
      <w:pPr>
        <w:ind w:left="1068" w:hanging="360"/>
      </w:pPr>
      <w:rPr>
        <w:rFonts w:ascii="Calibri" w:eastAsiaTheme="minorHAnsi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DB3F7F"/>
    <w:multiLevelType w:val="hybridMultilevel"/>
    <w:tmpl w:val="652477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3F2A88"/>
    <w:multiLevelType w:val="multilevel"/>
    <w:tmpl w:val="B794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92" w:hanging="432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44498D"/>
    <w:multiLevelType w:val="hybridMultilevel"/>
    <w:tmpl w:val="81448FB4"/>
    <w:lvl w:ilvl="0" w:tplc="17DCA46E">
      <w:start w:val="1"/>
      <w:numFmt w:val="decimal"/>
      <w:pStyle w:val="berschrift1"/>
      <w:lvlText w:val="%1."/>
      <w:lvlJc w:val="left"/>
      <w:pPr>
        <w:ind w:left="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6" w:hanging="360"/>
      </w:pPr>
    </w:lvl>
    <w:lvl w:ilvl="2" w:tplc="0407001B" w:tentative="1">
      <w:start w:val="1"/>
      <w:numFmt w:val="lowerRoman"/>
      <w:lvlText w:val="%3."/>
      <w:lvlJc w:val="right"/>
      <w:pPr>
        <w:ind w:left="2276" w:hanging="180"/>
      </w:pPr>
    </w:lvl>
    <w:lvl w:ilvl="3" w:tplc="0407000F" w:tentative="1">
      <w:start w:val="1"/>
      <w:numFmt w:val="decimal"/>
      <w:lvlText w:val="%4."/>
      <w:lvlJc w:val="left"/>
      <w:pPr>
        <w:ind w:left="2996" w:hanging="360"/>
      </w:pPr>
    </w:lvl>
    <w:lvl w:ilvl="4" w:tplc="04070019" w:tentative="1">
      <w:start w:val="1"/>
      <w:numFmt w:val="lowerLetter"/>
      <w:lvlText w:val="%5."/>
      <w:lvlJc w:val="left"/>
      <w:pPr>
        <w:ind w:left="3716" w:hanging="360"/>
      </w:pPr>
    </w:lvl>
    <w:lvl w:ilvl="5" w:tplc="0407001B" w:tentative="1">
      <w:start w:val="1"/>
      <w:numFmt w:val="lowerRoman"/>
      <w:lvlText w:val="%6."/>
      <w:lvlJc w:val="right"/>
      <w:pPr>
        <w:ind w:left="4436" w:hanging="180"/>
      </w:pPr>
    </w:lvl>
    <w:lvl w:ilvl="6" w:tplc="0407000F" w:tentative="1">
      <w:start w:val="1"/>
      <w:numFmt w:val="decimal"/>
      <w:lvlText w:val="%7."/>
      <w:lvlJc w:val="left"/>
      <w:pPr>
        <w:ind w:left="5156" w:hanging="360"/>
      </w:pPr>
    </w:lvl>
    <w:lvl w:ilvl="7" w:tplc="04070019" w:tentative="1">
      <w:start w:val="1"/>
      <w:numFmt w:val="lowerLetter"/>
      <w:lvlText w:val="%8."/>
      <w:lvlJc w:val="left"/>
      <w:pPr>
        <w:ind w:left="5876" w:hanging="360"/>
      </w:pPr>
    </w:lvl>
    <w:lvl w:ilvl="8" w:tplc="0407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486A5076"/>
    <w:multiLevelType w:val="hybridMultilevel"/>
    <w:tmpl w:val="A7028C72"/>
    <w:lvl w:ilvl="0" w:tplc="0CA0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E1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4F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6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8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3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9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C4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C207DE"/>
    <w:multiLevelType w:val="multilevel"/>
    <w:tmpl w:val="380C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DE5EB5"/>
    <w:multiLevelType w:val="hybridMultilevel"/>
    <w:tmpl w:val="3CD66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A36EF"/>
    <w:multiLevelType w:val="hybridMultilevel"/>
    <w:tmpl w:val="7CF8948C"/>
    <w:lvl w:ilvl="0" w:tplc="41B06C4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F54E44BE">
      <w:start w:val="1"/>
      <w:numFmt w:val="bullet"/>
      <w:lvlText w:val=""/>
      <w:lvlJc w:val="left"/>
      <w:pPr>
        <w:ind w:hanging="219"/>
      </w:pPr>
      <w:rPr>
        <w:rFonts w:ascii="Symbol" w:eastAsia="Symbol" w:hAnsi="Symbol" w:hint="default"/>
        <w:w w:val="99"/>
        <w:sz w:val="22"/>
        <w:szCs w:val="22"/>
      </w:rPr>
    </w:lvl>
    <w:lvl w:ilvl="2" w:tplc="89BC8BAE">
      <w:start w:val="1"/>
      <w:numFmt w:val="bullet"/>
      <w:lvlText w:val="•"/>
      <w:lvlJc w:val="left"/>
      <w:rPr>
        <w:rFonts w:hint="default"/>
      </w:rPr>
    </w:lvl>
    <w:lvl w:ilvl="3" w:tplc="00F0473A">
      <w:start w:val="1"/>
      <w:numFmt w:val="bullet"/>
      <w:lvlText w:val="•"/>
      <w:lvlJc w:val="left"/>
      <w:rPr>
        <w:rFonts w:hint="default"/>
      </w:rPr>
    </w:lvl>
    <w:lvl w:ilvl="4" w:tplc="0010A9D0">
      <w:start w:val="1"/>
      <w:numFmt w:val="bullet"/>
      <w:lvlText w:val="•"/>
      <w:lvlJc w:val="left"/>
      <w:rPr>
        <w:rFonts w:hint="default"/>
      </w:rPr>
    </w:lvl>
    <w:lvl w:ilvl="5" w:tplc="0D62AB44">
      <w:start w:val="1"/>
      <w:numFmt w:val="bullet"/>
      <w:lvlText w:val="•"/>
      <w:lvlJc w:val="left"/>
      <w:rPr>
        <w:rFonts w:hint="default"/>
      </w:rPr>
    </w:lvl>
    <w:lvl w:ilvl="6" w:tplc="E4A8B9D2">
      <w:start w:val="1"/>
      <w:numFmt w:val="bullet"/>
      <w:lvlText w:val="•"/>
      <w:lvlJc w:val="left"/>
      <w:rPr>
        <w:rFonts w:hint="default"/>
      </w:rPr>
    </w:lvl>
    <w:lvl w:ilvl="7" w:tplc="38D6CF1A">
      <w:start w:val="1"/>
      <w:numFmt w:val="bullet"/>
      <w:lvlText w:val="•"/>
      <w:lvlJc w:val="left"/>
      <w:rPr>
        <w:rFonts w:hint="default"/>
      </w:rPr>
    </w:lvl>
    <w:lvl w:ilvl="8" w:tplc="8EE8C9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7"/>
    <w:rsid w:val="00002727"/>
    <w:rsid w:val="00015890"/>
    <w:rsid w:val="00055551"/>
    <w:rsid w:val="00097FCE"/>
    <w:rsid w:val="000F5FD1"/>
    <w:rsid w:val="00102A06"/>
    <w:rsid w:val="00150454"/>
    <w:rsid w:val="001505EA"/>
    <w:rsid w:val="00156269"/>
    <w:rsid w:val="00163544"/>
    <w:rsid w:val="00172F35"/>
    <w:rsid w:val="00173414"/>
    <w:rsid w:val="00180B27"/>
    <w:rsid w:val="001E43B6"/>
    <w:rsid w:val="001F53CA"/>
    <w:rsid w:val="0021055B"/>
    <w:rsid w:val="00230C6D"/>
    <w:rsid w:val="00236AA5"/>
    <w:rsid w:val="00252D99"/>
    <w:rsid w:val="002642FE"/>
    <w:rsid w:val="00275CE6"/>
    <w:rsid w:val="00275D16"/>
    <w:rsid w:val="002B0D80"/>
    <w:rsid w:val="002C44BE"/>
    <w:rsid w:val="0034136C"/>
    <w:rsid w:val="0036383B"/>
    <w:rsid w:val="0037325E"/>
    <w:rsid w:val="00387FC5"/>
    <w:rsid w:val="003932E2"/>
    <w:rsid w:val="003E3650"/>
    <w:rsid w:val="003E3887"/>
    <w:rsid w:val="00424A0D"/>
    <w:rsid w:val="0045345C"/>
    <w:rsid w:val="00453A32"/>
    <w:rsid w:val="0047276F"/>
    <w:rsid w:val="00491F66"/>
    <w:rsid w:val="004A7FDB"/>
    <w:rsid w:val="00500802"/>
    <w:rsid w:val="005267C0"/>
    <w:rsid w:val="005273E4"/>
    <w:rsid w:val="00537FF3"/>
    <w:rsid w:val="005436DF"/>
    <w:rsid w:val="00565583"/>
    <w:rsid w:val="00576A6B"/>
    <w:rsid w:val="00586AF0"/>
    <w:rsid w:val="0059402C"/>
    <w:rsid w:val="005A5897"/>
    <w:rsid w:val="005A7C9C"/>
    <w:rsid w:val="005E169A"/>
    <w:rsid w:val="005E4A24"/>
    <w:rsid w:val="005F0C07"/>
    <w:rsid w:val="005F74E7"/>
    <w:rsid w:val="0067647F"/>
    <w:rsid w:val="0069065D"/>
    <w:rsid w:val="006A2A20"/>
    <w:rsid w:val="006C48BC"/>
    <w:rsid w:val="006F5793"/>
    <w:rsid w:val="00712935"/>
    <w:rsid w:val="00725CB6"/>
    <w:rsid w:val="00735289"/>
    <w:rsid w:val="00780BE1"/>
    <w:rsid w:val="0079376A"/>
    <w:rsid w:val="007A02F8"/>
    <w:rsid w:val="007C682C"/>
    <w:rsid w:val="007C789A"/>
    <w:rsid w:val="00803DAD"/>
    <w:rsid w:val="00820CFD"/>
    <w:rsid w:val="00822811"/>
    <w:rsid w:val="00850AFF"/>
    <w:rsid w:val="00853778"/>
    <w:rsid w:val="00895A6C"/>
    <w:rsid w:val="008966C4"/>
    <w:rsid w:val="008F3391"/>
    <w:rsid w:val="009029E4"/>
    <w:rsid w:val="00922D16"/>
    <w:rsid w:val="009408B8"/>
    <w:rsid w:val="009416E0"/>
    <w:rsid w:val="00947400"/>
    <w:rsid w:val="0095456E"/>
    <w:rsid w:val="009A153D"/>
    <w:rsid w:val="009A4B15"/>
    <w:rsid w:val="009B0E32"/>
    <w:rsid w:val="009B7630"/>
    <w:rsid w:val="009D242D"/>
    <w:rsid w:val="00A155C3"/>
    <w:rsid w:val="00A3453C"/>
    <w:rsid w:val="00A92813"/>
    <w:rsid w:val="00AE7133"/>
    <w:rsid w:val="00B11354"/>
    <w:rsid w:val="00B113A2"/>
    <w:rsid w:val="00B1452C"/>
    <w:rsid w:val="00B23FBE"/>
    <w:rsid w:val="00B470A7"/>
    <w:rsid w:val="00B65648"/>
    <w:rsid w:val="00B703F6"/>
    <w:rsid w:val="00B8125A"/>
    <w:rsid w:val="00BA1D08"/>
    <w:rsid w:val="00BA3CF0"/>
    <w:rsid w:val="00BE6D32"/>
    <w:rsid w:val="00BE7AF3"/>
    <w:rsid w:val="00C01A13"/>
    <w:rsid w:val="00C33243"/>
    <w:rsid w:val="00C37C08"/>
    <w:rsid w:val="00C6060A"/>
    <w:rsid w:val="00C66A3A"/>
    <w:rsid w:val="00C77247"/>
    <w:rsid w:val="00C919D3"/>
    <w:rsid w:val="00C95655"/>
    <w:rsid w:val="00CA2651"/>
    <w:rsid w:val="00CD0DC4"/>
    <w:rsid w:val="00CE195B"/>
    <w:rsid w:val="00D025A7"/>
    <w:rsid w:val="00D20CBC"/>
    <w:rsid w:val="00D24C04"/>
    <w:rsid w:val="00D87EB3"/>
    <w:rsid w:val="00DD1CCD"/>
    <w:rsid w:val="00DD2121"/>
    <w:rsid w:val="00E166D2"/>
    <w:rsid w:val="00E23E88"/>
    <w:rsid w:val="00E7498D"/>
    <w:rsid w:val="00E85151"/>
    <w:rsid w:val="00EB1D0D"/>
    <w:rsid w:val="00EB2AF4"/>
    <w:rsid w:val="00F01079"/>
    <w:rsid w:val="00F0243B"/>
    <w:rsid w:val="00F375D3"/>
    <w:rsid w:val="00F45F92"/>
    <w:rsid w:val="00F479ED"/>
    <w:rsid w:val="00F54C74"/>
    <w:rsid w:val="00F66FF4"/>
    <w:rsid w:val="00F85DD0"/>
    <w:rsid w:val="00FC042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2F327D"/>
  <w15:docId w15:val="{37A9CD7D-1114-4BDF-9236-769290D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A32"/>
  </w:style>
  <w:style w:type="paragraph" w:styleId="berschrift1">
    <w:name w:val="heading 1"/>
    <w:basedOn w:val="Standard"/>
    <w:next w:val="berschrift2"/>
    <w:link w:val="berschrift1Zchn"/>
    <w:uiPriority w:val="1"/>
    <w:qFormat/>
    <w:rsid w:val="00F0243B"/>
    <w:pPr>
      <w:widowControl w:val="0"/>
      <w:numPr>
        <w:numId w:val="5"/>
      </w:numPr>
      <w:spacing w:before="74" w:after="0" w:line="240" w:lineRule="auto"/>
      <w:outlineLvl w:val="0"/>
    </w:pPr>
    <w:rPr>
      <w:rFonts w:asciiTheme="majorHAnsi" w:eastAsia="Arial" w:hAnsiTheme="majorHAnsi"/>
      <w:b/>
      <w:bCs/>
      <w:color w:val="17365D" w:themeColor="text2" w:themeShade="BF"/>
      <w:sz w:val="28"/>
      <w:szCs w:val="20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0243B"/>
    <w:pPr>
      <w:numPr>
        <w:ilvl w:val="1"/>
        <w:numId w:val="3"/>
      </w:numPr>
      <w:spacing w:before="200" w:after="120"/>
      <w:outlineLvl w:val="1"/>
    </w:pPr>
    <w:rPr>
      <w:rFonts w:cstheme="majorBidi"/>
      <w:b w:val="0"/>
      <w:bCs w:val="0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0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5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D3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0243B"/>
    <w:rPr>
      <w:rFonts w:asciiTheme="majorHAnsi" w:eastAsia="Arial" w:hAnsiTheme="majorHAnsi"/>
      <w:b/>
      <w:bCs/>
      <w:color w:val="17365D" w:themeColor="text2" w:themeShade="BF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72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77247"/>
    <w:pPr>
      <w:widowControl w:val="0"/>
      <w:spacing w:after="0" w:line="240" w:lineRule="auto"/>
      <w:ind w:left="932"/>
    </w:pPr>
    <w:rPr>
      <w:rFonts w:ascii="Arial" w:eastAsia="Arial" w:hAnsi="Arial"/>
      <w:sz w:val="15"/>
      <w:szCs w:val="15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77247"/>
    <w:rPr>
      <w:rFonts w:ascii="Arial" w:eastAsia="Arial" w:hAnsi="Arial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rsid w:val="00C77247"/>
    <w:pPr>
      <w:widowControl w:val="0"/>
      <w:spacing w:after="0" w:line="240" w:lineRule="auto"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43B"/>
    <w:rPr>
      <w:rFonts w:asciiTheme="majorHAnsi" w:eastAsia="Arial" w:hAnsiTheme="majorHAnsi" w:cstheme="majorBidi"/>
      <w:color w:val="17365D" w:themeColor="text2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0243B"/>
    <w:pPr>
      <w:tabs>
        <w:tab w:val="left" w:pos="880"/>
        <w:tab w:val="right" w:leader="dot" w:pos="9062"/>
      </w:tabs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408B8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36AA5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80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0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0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3E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29E4"/>
    <w:pPr>
      <w:keepNext/>
      <w:keepLines/>
      <w:widowControl/>
      <w:spacing w:before="480" w:line="276" w:lineRule="auto"/>
      <w:ind w:left="0" w:firstLine="0"/>
      <w:outlineLvl w:val="9"/>
    </w:pPr>
    <w:rPr>
      <w:rFonts w:eastAsiaTheme="majorEastAsia" w:cstheme="majorBidi"/>
      <w:color w:val="365F91" w:themeColor="accent1" w:themeShade="BF"/>
      <w:szCs w:val="28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50AFF"/>
    <w:pPr>
      <w:spacing w:after="100"/>
      <w:ind w:left="440"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551"/>
  </w:style>
  <w:style w:type="paragraph" w:styleId="Fuzeile">
    <w:name w:val="footer"/>
    <w:basedOn w:val="Standard"/>
    <w:link w:val="FuzeileZchn"/>
    <w:uiPriority w:val="99"/>
    <w:unhideWhenUsed/>
    <w:rsid w:val="0005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575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44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9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968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78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162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997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727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9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78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01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689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419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-Arbeitsblat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-Arbeitsblat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EA47-D686-4C2D-9CC1-B77B31CD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Gerlitzke Anne-Kathrin</dc:creator>
  <cp:lastModifiedBy>Höring, Stefan</cp:lastModifiedBy>
  <cp:revision>8</cp:revision>
  <cp:lastPrinted>2018-10-15T12:58:00Z</cp:lastPrinted>
  <dcterms:created xsi:type="dcterms:W3CDTF">2019-11-11T15:38:00Z</dcterms:created>
  <dcterms:modified xsi:type="dcterms:W3CDTF">2020-12-22T17:38:00Z</dcterms:modified>
</cp:coreProperties>
</file>